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96" w:rsidRPr="005A630A" w:rsidRDefault="00412F96" w:rsidP="00412F9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TEOREMA DI PITAGORA</w:t>
      </w:r>
      <w:r w:rsidRPr="005A630A">
        <w:rPr>
          <w:rFonts w:ascii="Times New Roman" w:hAnsi="Times New Roman" w:cs="Times New Roman"/>
          <w:b/>
        </w:rPr>
        <w:t xml:space="preserve"> CON GEOGEBRA:</w:t>
      </w:r>
    </w:p>
    <w:p w:rsidR="00412F96" w:rsidRPr="005A630A" w:rsidRDefault="00412F96" w:rsidP="00412F96">
      <w:pPr>
        <w:rPr>
          <w:rFonts w:ascii="Times New Roman" w:hAnsi="Times New Roman" w:cs="Times New Roman"/>
        </w:rPr>
      </w:pPr>
    </w:p>
    <w:p w:rsidR="00412F96" w:rsidRPr="005A630A" w:rsidRDefault="00412F96" w:rsidP="00412F96">
      <w:pPr>
        <w:rPr>
          <w:rFonts w:ascii="Times New Roman" w:hAnsi="Times New Roman" w:cs="Times New Roman"/>
        </w:rPr>
      </w:pPr>
      <w:r w:rsidRPr="005A630A">
        <w:rPr>
          <w:rFonts w:ascii="Times New Roman" w:hAnsi="Times New Roman" w:cs="Times New Roman"/>
          <w:b/>
        </w:rPr>
        <w:t>CLASSE</w:t>
      </w:r>
      <w:r w:rsidRPr="005A630A">
        <w:rPr>
          <w:rFonts w:ascii="Times New Roman" w:hAnsi="Times New Roman" w:cs="Times New Roman"/>
        </w:rPr>
        <w:t>: II SECONDARIA DI PRIMO GRADO</w:t>
      </w:r>
    </w:p>
    <w:p w:rsidR="00412F96" w:rsidRPr="005A630A" w:rsidRDefault="00412F96" w:rsidP="00412F96">
      <w:pPr>
        <w:rPr>
          <w:rFonts w:ascii="Times New Roman" w:hAnsi="Times New Roman" w:cs="Times New Roman"/>
        </w:rPr>
      </w:pPr>
      <w:r w:rsidRPr="005A630A">
        <w:rPr>
          <w:rFonts w:ascii="Times New Roman" w:hAnsi="Times New Roman" w:cs="Times New Roman"/>
          <w:b/>
        </w:rPr>
        <w:t>PERIODO</w:t>
      </w:r>
      <w:r w:rsidRPr="005A630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SECONDO Q</w:t>
      </w:r>
      <w:r w:rsidRPr="005A630A">
        <w:rPr>
          <w:rFonts w:ascii="Times New Roman" w:hAnsi="Times New Roman" w:cs="Times New Roman"/>
        </w:rPr>
        <w:t>UADRIMESTRE</w:t>
      </w:r>
    </w:p>
    <w:p w:rsidR="00412F96" w:rsidRDefault="00412F96" w:rsidP="00412F96">
      <w:pPr>
        <w:rPr>
          <w:rFonts w:ascii="Times New Roman" w:hAnsi="Times New Roman" w:cs="Times New Roman"/>
        </w:rPr>
      </w:pPr>
      <w:r w:rsidRPr="005A630A">
        <w:rPr>
          <w:rFonts w:ascii="Times New Roman" w:hAnsi="Times New Roman" w:cs="Times New Roman"/>
          <w:b/>
        </w:rPr>
        <w:t>ORE</w:t>
      </w:r>
      <w:r w:rsidRPr="005A630A">
        <w:rPr>
          <w:rFonts w:ascii="Times New Roman" w:hAnsi="Times New Roman" w:cs="Times New Roman"/>
        </w:rPr>
        <w:t>: per l’attività laboratoriale sono previste due ore</w:t>
      </w:r>
    </w:p>
    <w:p w:rsidR="00412F96" w:rsidRDefault="00412F96" w:rsidP="00412F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OSSERVAZIONE: </w:t>
      </w:r>
      <w:r>
        <w:rPr>
          <w:rFonts w:ascii="Times New Roman" w:hAnsi="Times New Roman" w:cs="Times New Roman"/>
        </w:rPr>
        <w:t xml:space="preserve">Tale attività è inserita all’interno di un percorso più ampio, gli studenti </w:t>
      </w:r>
      <w:r>
        <w:rPr>
          <w:rFonts w:ascii="Times New Roman" w:hAnsi="Times New Roman" w:cs="Times New Roman"/>
        </w:rPr>
        <w:t xml:space="preserve">conoscono il Teorema di Pitagora e le sue diverse dimostrazioni, lo osservano con </w:t>
      </w:r>
      <w:proofErr w:type="spellStart"/>
      <w:r>
        <w:rPr>
          <w:rFonts w:ascii="Times New Roman" w:hAnsi="Times New Roman" w:cs="Times New Roman"/>
        </w:rPr>
        <w:t>GeoGebra</w:t>
      </w:r>
      <w:proofErr w:type="spellEnd"/>
      <w:r>
        <w:rPr>
          <w:rFonts w:ascii="Times New Roman" w:hAnsi="Times New Roman" w:cs="Times New Roman"/>
        </w:rPr>
        <w:t>, osservano che il Teorema si può applicare solo con i triangoli rettangoli e scoprono che non vale solo se le figure costruite sui cateti e sull’ipotenusa sono quadrati, ma anche se sono poligoni regolari</w:t>
      </w:r>
      <w:r>
        <w:rPr>
          <w:rFonts w:ascii="Times New Roman" w:hAnsi="Times New Roman" w:cs="Times New Roman"/>
        </w:rPr>
        <w:t xml:space="preserve">. </w:t>
      </w:r>
    </w:p>
    <w:p w:rsidR="00412F96" w:rsidRDefault="00412F96" w:rsidP="00412F96">
      <w:pPr>
        <w:rPr>
          <w:rFonts w:ascii="Times New Roman" w:hAnsi="Times New Roman" w:cs="Times New Roman"/>
        </w:rPr>
      </w:pPr>
      <w:r w:rsidRPr="005D2162">
        <w:rPr>
          <w:rFonts w:ascii="Times New Roman" w:hAnsi="Times New Roman" w:cs="Times New Roman"/>
          <w:b/>
        </w:rPr>
        <w:t>LEZIONE</w:t>
      </w:r>
      <w:r>
        <w:rPr>
          <w:rFonts w:ascii="Times New Roman" w:hAnsi="Times New Roman" w:cs="Times New Roman"/>
        </w:rPr>
        <w:t xml:space="preserve">: Dopo aver ricordato </w:t>
      </w:r>
      <w:r>
        <w:rPr>
          <w:rFonts w:ascii="Times New Roman" w:hAnsi="Times New Roman" w:cs="Times New Roman"/>
        </w:rPr>
        <w:t xml:space="preserve">l’enunciato del Teorema di Pitagora </w:t>
      </w:r>
      <w:r>
        <w:rPr>
          <w:rFonts w:ascii="Times New Roman" w:hAnsi="Times New Roman" w:cs="Times New Roman"/>
        </w:rPr>
        <w:t xml:space="preserve">si richiede alla classe di rappresentare su </w:t>
      </w:r>
      <w:proofErr w:type="spellStart"/>
      <w:r>
        <w:rPr>
          <w:rFonts w:ascii="Times New Roman" w:hAnsi="Times New Roman" w:cs="Times New Roman"/>
        </w:rPr>
        <w:t>GeoGebra</w:t>
      </w:r>
      <w:proofErr w:type="spellEnd"/>
      <w:r>
        <w:rPr>
          <w:rFonts w:ascii="Times New Roman" w:hAnsi="Times New Roman" w:cs="Times New Roman"/>
        </w:rPr>
        <w:t xml:space="preserve"> con la visualizzazione a griglia un</w:t>
      </w:r>
      <w:r w:rsidR="001A712D">
        <w:rPr>
          <w:rFonts w:ascii="Times New Roman" w:hAnsi="Times New Roman" w:cs="Times New Roman"/>
        </w:rPr>
        <w:t xml:space="preserve"> triangolo</w:t>
      </w:r>
      <w:r>
        <w:rPr>
          <w:rFonts w:ascii="Times New Roman" w:hAnsi="Times New Roman" w:cs="Times New Roman"/>
        </w:rPr>
        <w:t xml:space="preserve"> rettangolo</w:t>
      </w:r>
      <w:r w:rsidR="001A712D">
        <w:rPr>
          <w:rFonts w:ascii="Times New Roman" w:hAnsi="Times New Roman" w:cs="Times New Roman"/>
        </w:rPr>
        <w:t xml:space="preserve"> isoscele, di costruire i quadrati sui cateti e sull’ipotenusa (come poligoni regolari)</w:t>
      </w:r>
      <w:r>
        <w:rPr>
          <w:rFonts w:ascii="Times New Roman" w:hAnsi="Times New Roman" w:cs="Times New Roman"/>
        </w:rPr>
        <w:t xml:space="preserve"> di misurare l’area </w:t>
      </w:r>
      <w:r w:rsidR="001A712D">
        <w:rPr>
          <w:rFonts w:ascii="Times New Roman" w:hAnsi="Times New Roman" w:cs="Times New Roman"/>
        </w:rPr>
        <w:t xml:space="preserve">dei tre quadrati </w:t>
      </w:r>
      <w:r>
        <w:rPr>
          <w:rFonts w:ascii="Times New Roman" w:hAnsi="Times New Roman" w:cs="Times New Roman"/>
        </w:rPr>
        <w:t xml:space="preserve">con l’apposito strumento, vedranno che l’area </w:t>
      </w:r>
      <w:r w:rsidR="001A712D">
        <w:rPr>
          <w:rFonts w:ascii="Times New Roman" w:hAnsi="Times New Roman" w:cs="Times New Roman"/>
        </w:rPr>
        <w:t xml:space="preserve">del quadrato costruito sull’ipotenusa </w:t>
      </w:r>
      <w:r>
        <w:rPr>
          <w:rFonts w:ascii="Times New Roman" w:hAnsi="Times New Roman" w:cs="Times New Roman"/>
        </w:rPr>
        <w:t xml:space="preserve">coincide con </w:t>
      </w:r>
      <w:r w:rsidR="001A712D">
        <w:rPr>
          <w:rFonts w:ascii="Times New Roman" w:hAnsi="Times New Roman" w:cs="Times New Roman"/>
        </w:rPr>
        <w:t>la somma delle aree dei quadrati costruiti sui cateti</w:t>
      </w:r>
      <w:r>
        <w:rPr>
          <w:rFonts w:ascii="Times New Roman" w:hAnsi="Times New Roman" w:cs="Times New Roman"/>
        </w:rPr>
        <w:t xml:space="preserve">. </w:t>
      </w:r>
    </w:p>
    <w:p w:rsidR="00375936" w:rsidRDefault="00375936" w:rsidP="00412F96">
      <w:pPr>
        <w:rPr>
          <w:rFonts w:ascii="Times New Roman" w:hAnsi="Times New Roman" w:cs="Times New Roman"/>
        </w:rPr>
      </w:pPr>
      <w:r w:rsidRPr="00375936">
        <w:rPr>
          <w:rFonts w:ascii="Times New Roman" w:hAnsi="Times New Roman" w:cs="Times New Roman"/>
        </w:rPr>
        <w:drawing>
          <wp:inline distT="0" distB="0" distL="0" distR="0" wp14:anchorId="108B3C22" wp14:editId="488EAB02">
            <wp:extent cx="3107266" cy="2432545"/>
            <wp:effectExtent l="0" t="0" r="0" b="6350"/>
            <wp:docPr id="2053" name="Picture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4" t="10563" r="44649" b="31113"/>
                    <a:stretch/>
                  </pic:blipFill>
                  <pic:spPr bwMode="auto">
                    <a:xfrm>
                      <a:off x="0" y="0"/>
                      <a:ext cx="3109899" cy="24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75936" w:rsidRDefault="00412F96" w:rsidP="00412F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</w:t>
      </w:r>
      <w:r w:rsidR="00375936">
        <w:rPr>
          <w:rFonts w:ascii="Times New Roman" w:hAnsi="Times New Roman" w:cs="Times New Roman"/>
        </w:rPr>
        <w:t>procede allo stesso modo con un triangolo rettangolo qualsiasi:</w:t>
      </w:r>
    </w:p>
    <w:p w:rsidR="00412F96" w:rsidRDefault="00375936" w:rsidP="00412F96">
      <w:pPr>
        <w:rPr>
          <w:rFonts w:ascii="Times New Roman" w:hAnsi="Times New Roman" w:cs="Times New Roman"/>
        </w:rPr>
      </w:pPr>
      <w:r w:rsidRPr="00375936">
        <w:rPr>
          <w:rFonts w:ascii="Times New Roman" w:hAnsi="Times New Roman" w:cs="Times New Roman"/>
        </w:rPr>
        <w:drawing>
          <wp:inline distT="0" distB="0" distL="0" distR="0" wp14:anchorId="2A3E81C9" wp14:editId="3B05B890">
            <wp:extent cx="3456698" cy="2650066"/>
            <wp:effectExtent l="0" t="0" r="0" b="0"/>
            <wp:docPr id="1029" name="Picture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762" cy="265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412F96">
        <w:rPr>
          <w:rFonts w:ascii="Times New Roman" w:hAnsi="Times New Roman" w:cs="Times New Roman"/>
        </w:rPr>
        <w:t xml:space="preserve"> </w:t>
      </w:r>
    </w:p>
    <w:p w:rsidR="00412F96" w:rsidRDefault="00412F96" w:rsidP="00412F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Si fa notare agli studenti che se i</w:t>
      </w:r>
      <w:r w:rsidR="00375936">
        <w:rPr>
          <w:rFonts w:ascii="Times New Roman" w:hAnsi="Times New Roman" w:cs="Times New Roman"/>
        </w:rPr>
        <w:t>l triangolo non è rettangolo il Teorema non vale:</w:t>
      </w:r>
    </w:p>
    <w:p w:rsidR="00375936" w:rsidRDefault="00717E96" w:rsidP="00412F96">
      <w:pPr>
        <w:rPr>
          <w:rFonts w:ascii="Times New Roman" w:hAnsi="Times New Roman" w:cs="Times New Roman"/>
        </w:rPr>
      </w:pPr>
      <w:r w:rsidRPr="00375936"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 wp14:anchorId="6507938F" wp14:editId="6EB4B36E">
            <wp:simplePos x="0" y="0"/>
            <wp:positionH relativeFrom="column">
              <wp:posOffset>3013710</wp:posOffset>
            </wp:positionH>
            <wp:positionV relativeFrom="paragraph">
              <wp:posOffset>40005</wp:posOffset>
            </wp:positionV>
            <wp:extent cx="3310255" cy="2573655"/>
            <wp:effectExtent l="0" t="0" r="4445" b="0"/>
            <wp:wrapSquare wrapText="bothSides"/>
            <wp:docPr id="409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84" t="14194"/>
                    <a:stretch/>
                  </pic:blipFill>
                  <pic:spPr bwMode="auto">
                    <a:xfrm>
                      <a:off x="0" y="0"/>
                      <a:ext cx="3310255" cy="257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7E96" w:rsidRDefault="00717E96" w:rsidP="00412F96">
      <w:pPr>
        <w:rPr>
          <w:rFonts w:ascii="Times New Roman" w:hAnsi="Times New Roman" w:cs="Times New Roman"/>
        </w:rPr>
      </w:pPr>
      <w:r w:rsidRPr="00717E96">
        <w:rPr>
          <w:rFonts w:ascii="Times New Roman" w:hAnsi="Times New Roman" w:cs="Times New Roman"/>
        </w:rPr>
        <w:drawing>
          <wp:anchor distT="0" distB="0" distL="114300" distR="114300" simplePos="0" relativeHeight="251658240" behindDoc="0" locked="0" layoutInCell="1" allowOverlap="1" wp14:anchorId="386C09AB" wp14:editId="23BBAD5B">
            <wp:simplePos x="0" y="0"/>
            <wp:positionH relativeFrom="column">
              <wp:posOffset>-170180</wp:posOffset>
            </wp:positionH>
            <wp:positionV relativeFrom="paragraph">
              <wp:posOffset>1905</wp:posOffset>
            </wp:positionV>
            <wp:extent cx="2903855" cy="2009775"/>
            <wp:effectExtent l="0" t="0" r="0" b="9525"/>
            <wp:wrapSquare wrapText="bothSides"/>
            <wp:docPr id="512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F96" w:rsidRDefault="00717E96" w:rsidP="00412F96">
      <w:pPr>
        <w:rPr>
          <w:rFonts w:ascii="Times New Roman" w:hAnsi="Times New Roman" w:cs="Times New Roman"/>
        </w:rPr>
      </w:pPr>
      <w:r w:rsidRPr="00717E96">
        <w:drawing>
          <wp:anchor distT="0" distB="0" distL="114300" distR="114300" simplePos="0" relativeHeight="251661312" behindDoc="0" locked="0" layoutInCell="1" allowOverlap="1" wp14:anchorId="2AA6E7C8" wp14:editId="6016AEF5">
            <wp:simplePos x="0" y="0"/>
            <wp:positionH relativeFrom="column">
              <wp:posOffset>3079115</wp:posOffset>
            </wp:positionH>
            <wp:positionV relativeFrom="paragraph">
              <wp:posOffset>403225</wp:posOffset>
            </wp:positionV>
            <wp:extent cx="3718560" cy="2785110"/>
            <wp:effectExtent l="0" t="0" r="0" b="0"/>
            <wp:wrapSquare wrapText="bothSides"/>
            <wp:docPr id="717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60" cy="278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7E96">
        <w:drawing>
          <wp:anchor distT="0" distB="0" distL="114300" distR="114300" simplePos="0" relativeHeight="251660288" behindDoc="0" locked="0" layoutInCell="1" allowOverlap="1" wp14:anchorId="5FA04AA4" wp14:editId="235C654C">
            <wp:simplePos x="0" y="0"/>
            <wp:positionH relativeFrom="column">
              <wp:posOffset>-265430</wp:posOffset>
            </wp:positionH>
            <wp:positionV relativeFrom="paragraph">
              <wp:posOffset>682625</wp:posOffset>
            </wp:positionV>
            <wp:extent cx="3335020" cy="2454910"/>
            <wp:effectExtent l="0" t="0" r="0" b="2540"/>
            <wp:wrapSquare wrapText="bothSides"/>
            <wp:docPr id="6146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245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F96">
        <w:rPr>
          <w:rFonts w:ascii="Times New Roman" w:hAnsi="Times New Roman" w:cs="Times New Roman"/>
        </w:rPr>
        <w:t>Si</w:t>
      </w:r>
      <w:r>
        <w:rPr>
          <w:rFonts w:ascii="Times New Roman" w:hAnsi="Times New Roman" w:cs="Times New Roman"/>
        </w:rPr>
        <w:t xml:space="preserve"> passa alla rappresentazione di altri poligoni regolari sui cateti (con la funzione poligono regolare) e sull’ipotenusa e si fa notare agli studenti che il Teorema di Pitagora vale comunque.</w:t>
      </w:r>
    </w:p>
    <w:p w:rsidR="00D07B8F" w:rsidRDefault="00717E96">
      <w:bookmarkStart w:id="0" w:name="_GoBack"/>
      <w:bookmarkEnd w:id="0"/>
      <w:r w:rsidRPr="00717E96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2626360</wp:posOffset>
            </wp:positionV>
            <wp:extent cx="4064000" cy="2581910"/>
            <wp:effectExtent l="0" t="0" r="0" b="8890"/>
            <wp:wrapSquare wrapText="bothSides"/>
            <wp:docPr id="819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9"/>
                    <a:stretch/>
                  </pic:blipFill>
                  <pic:spPr bwMode="auto">
                    <a:xfrm>
                      <a:off x="0" y="0"/>
                      <a:ext cx="4064000" cy="25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7B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F96"/>
    <w:rsid w:val="001A712D"/>
    <w:rsid w:val="00375936"/>
    <w:rsid w:val="00412F96"/>
    <w:rsid w:val="00584B28"/>
    <w:rsid w:val="00717E96"/>
    <w:rsid w:val="00D07B8F"/>
    <w:rsid w:val="00D4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2F96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5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2F96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5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dcterms:created xsi:type="dcterms:W3CDTF">2017-11-27T17:15:00Z</dcterms:created>
  <dcterms:modified xsi:type="dcterms:W3CDTF">2017-11-27T17:51:00Z</dcterms:modified>
</cp:coreProperties>
</file>